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9240"/>
        <w:tblGridChange w:id="0">
          <w:tblGrid>
            <w:gridCol w:w="1575"/>
            <w:gridCol w:w="9240"/>
          </w:tblGrid>
        </w:tblGridChange>
      </w:tblGrid>
      <w:tr>
        <w:trPr>
          <w:cantSplit w:val="0"/>
          <w:trHeight w:val="303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00237a"/>
                <w:sz w:val="44"/>
                <w:szCs w:val="4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237a"/>
                <w:sz w:val="44"/>
                <w:szCs w:val="44"/>
              </w:rPr>
              <w:drawing>
                <wp:inline distB="114300" distT="114300" distL="114300" distR="114300">
                  <wp:extent cx="4762500" cy="8382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838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46"/>
                <w:szCs w:val="4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44"/>
                <w:szCs w:val="44"/>
                <w:rtl w:val="0"/>
              </w:rPr>
              <w:t xml:space="preserve">RESOURCES ORGANIZER</w:t>
            </w:r>
            <w:r w:rsidDel="00000000" w:rsidR="00000000" w:rsidRPr="00000000">
              <w:rPr>
                <w:rFonts w:ascii="Poppins" w:cs="Poppins" w:eastAsia="Poppins" w:hAnsi="Poppins"/>
                <w:sz w:val="46"/>
                <w:szCs w:val="4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005dba"/>
                <w:sz w:val="20"/>
                <w:szCs w:val="20"/>
                <w:highlight w:val="yellow"/>
              </w:rPr>
            </w:pPr>
            <w:hyperlink r:id="rId7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36"/>
                  <w:szCs w:val="36"/>
                  <w:u w:val="single"/>
                  <w:rtl w:val="0"/>
                </w:rPr>
                <w:t xml:space="preserve">Think College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Thank you for participating in this informational session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 Below are the links to the slides, resources, and contact information.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color w:val="666666"/>
                <w:sz w:val="24"/>
                <w:szCs w:val="24"/>
                <w:shd w:fill="d9d2e9" w:val="clear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666666"/>
                <w:sz w:val="24"/>
                <w:szCs w:val="24"/>
                <w:shd w:fill="d9d2e9" w:val="clear"/>
                <w:rtl w:val="0"/>
              </w:rPr>
              <w:t xml:space="preserve">Presenter: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color w:val="666666"/>
                <w:sz w:val="26"/>
                <w:szCs w:val="26"/>
                <w:shd w:fill="d9d2e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51c7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Poppins" w:cs="Poppins" w:eastAsia="Poppins" w:hAnsi="Poppins"/>
                <w:color w:val="005dba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5dba"/>
                <w:sz w:val="24"/>
                <w:szCs w:val="24"/>
                <w:rtl w:val="0"/>
              </w:rPr>
              <w:t xml:space="preserve">Dr. Mindy Lingo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Poppins" w:cs="Poppins" w:eastAsia="Poppins" w:hAnsi="Poppins"/>
                <w:color w:val="005dba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5dba"/>
                <w:sz w:val="24"/>
                <w:szCs w:val="24"/>
                <w:rtl w:val="0"/>
              </w:rPr>
              <w:t xml:space="preserve">Training and Technical Assistance Coordinator for Think College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Poppins" w:cs="Poppins" w:eastAsia="Poppins" w:hAnsi="Poppins"/>
                <w:color w:val="005dba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4"/>
                  <w:szCs w:val="24"/>
                  <w:u w:val="single"/>
                  <w:rtl w:val="0"/>
                </w:rPr>
                <w:t xml:space="preserve">mindy.lingo@umb.edu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right w:color="351c7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color w:val="666666"/>
                <w:sz w:val="24"/>
                <w:szCs w:val="24"/>
                <w:shd w:fill="d9d2e9" w:val="clear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666666"/>
                <w:sz w:val="24"/>
                <w:szCs w:val="24"/>
                <w:shd w:fill="d9d2e9" w:val="clear"/>
                <w:rtl w:val="0"/>
              </w:rPr>
              <w:t xml:space="preserve">Resources:</w:t>
            </w:r>
          </w:p>
        </w:tc>
        <w:tc>
          <w:tcPr>
            <w:tcBorders>
              <w:top w:color="351c75" w:space="0" w:sz="8" w:val="single"/>
              <w:left w:color="351c75" w:space="0" w:sz="8" w:val="single"/>
              <w:bottom w:color="351c75" w:space="0" w:sz="8" w:val="single"/>
              <w:right w:color="351c7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rPr>
                <w:rFonts w:ascii="Poppins" w:cs="Poppins" w:eastAsia="Poppins" w:hAnsi="Poppin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472c4"/>
                <w:sz w:val="24"/>
                <w:szCs w:val="24"/>
                <w:rtl w:val="0"/>
              </w:rPr>
              <w:t xml:space="preserve">Presentation Resources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472c4"/>
                <w:sz w:val="24"/>
                <w:szCs w:val="24"/>
                <w:rtl w:val="0"/>
              </w:rPr>
              <w:t xml:space="preserve">Resource Organizer </w:t>
            </w:r>
            <w:r w:rsidDel="00000000" w:rsidR="00000000" w:rsidRPr="00000000">
              <w:rPr>
                <w:rFonts w:ascii="Poppins" w:cs="Poppins" w:eastAsia="Poppins" w:hAnsi="Poppins"/>
                <w:color w:val="4472c4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Poppins" w:cs="Poppins" w:eastAsia="Poppins" w:hAnsi="Poppins"/>
                <w:b w:val="1"/>
                <w:color w:val="4472c4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4"/>
                  <w:szCs w:val="24"/>
                  <w:u w:val="single"/>
                  <w:rtl w:val="0"/>
                </w:rPr>
                <w:t xml:space="preserve">https://tinyurl.com/duwrt74v</w:t>
              </w:r>
            </w:hyperlink>
            <w:r w:rsidDel="00000000" w:rsidR="00000000" w:rsidRPr="00000000">
              <w:rPr>
                <w:rFonts w:ascii="Poppins" w:cs="Poppins" w:eastAsia="Poppins" w:hAnsi="Poppins"/>
                <w:color w:val="4472c4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472c4"/>
                <w:sz w:val="24"/>
                <w:szCs w:val="24"/>
                <w:rtl w:val="0"/>
              </w:rPr>
              <w:t xml:space="preserve">PDF of Presentation </w:t>
            </w:r>
            <w:r w:rsidDel="00000000" w:rsidR="00000000" w:rsidRPr="00000000">
              <w:rPr>
                <w:rFonts w:ascii="Poppins" w:cs="Poppins" w:eastAsia="Poppins" w:hAnsi="Poppins"/>
                <w:color w:val="4472c4"/>
                <w:sz w:val="24"/>
                <w:szCs w:val="24"/>
                <w:rtl w:val="0"/>
              </w:rPr>
              <w:t xml:space="preserve">- </w:t>
            </w:r>
            <w:hyperlink r:id="rId10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4"/>
                  <w:szCs w:val="24"/>
                  <w:u w:val="single"/>
                  <w:rtl w:val="0"/>
                </w:rPr>
                <w:t xml:space="preserve">https://tinyurl.com/2cj3uvms</w:t>
              </w:r>
            </w:hyperlink>
            <w:r w:rsidDel="00000000" w:rsidR="00000000" w:rsidRPr="00000000">
              <w:rPr>
                <w:rFonts w:ascii="Poppins" w:cs="Poppins" w:eastAsia="Poppins" w:hAnsi="Poppins"/>
                <w:color w:val="4472c4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472c4"/>
                <w:sz w:val="24"/>
                <w:szCs w:val="24"/>
                <w:rtl w:val="0"/>
              </w:rPr>
              <w:t xml:space="preserve">Think College</w:t>
            </w:r>
            <w:r w:rsidDel="00000000" w:rsidR="00000000" w:rsidRPr="00000000">
              <w:rPr>
                <w:rFonts w:ascii="Poppins" w:cs="Poppins" w:eastAsia="Poppins" w:hAnsi="Poppins"/>
                <w:color w:val="4472c4"/>
                <w:sz w:val="24"/>
                <w:szCs w:val="24"/>
                <w:rtl w:val="0"/>
              </w:rPr>
              <w:t xml:space="preserve"> - </w:t>
            </w:r>
            <w:hyperlink r:id="rId11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4"/>
                  <w:szCs w:val="24"/>
                  <w:u w:val="single"/>
                  <w:rtl w:val="0"/>
                </w:rPr>
                <w:t xml:space="preserve">https://thinkcollege.net/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472c4"/>
                <w:sz w:val="24"/>
                <w:szCs w:val="24"/>
                <w:rtl w:val="0"/>
              </w:rPr>
              <w:t xml:space="preserve">Think College’s College Search </w:t>
            </w:r>
            <w:r w:rsidDel="00000000" w:rsidR="00000000" w:rsidRPr="00000000">
              <w:rPr>
                <w:rFonts w:ascii="Poppins" w:cs="Poppins" w:eastAsia="Poppins" w:hAnsi="Poppins"/>
                <w:color w:val="4472c4"/>
                <w:sz w:val="24"/>
                <w:szCs w:val="24"/>
                <w:rtl w:val="0"/>
              </w:rPr>
              <w:t xml:space="preserve">- </w:t>
            </w:r>
            <w:hyperlink r:id="rId12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4"/>
                  <w:szCs w:val="24"/>
                  <w:u w:val="single"/>
                  <w:rtl w:val="0"/>
                </w:rPr>
                <w:t xml:space="preserve">https://thinkcollege.net/college-search</w:t>
              </w:r>
            </w:hyperlink>
            <w:r w:rsidDel="00000000" w:rsidR="00000000" w:rsidRPr="00000000">
              <w:rPr>
                <w:rFonts w:ascii="Poppins" w:cs="Poppins" w:eastAsia="Poppins" w:hAnsi="Poppins"/>
                <w:color w:val="4472c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472c4"/>
                <w:sz w:val="24"/>
                <w:szCs w:val="24"/>
                <w:rtl w:val="0"/>
              </w:rPr>
              <w:t xml:space="preserve">Preparing for College Webpage - </w:t>
            </w:r>
            <w:hyperlink r:id="rId13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4"/>
                  <w:szCs w:val="24"/>
                  <w:u w:val="single"/>
                  <w:rtl w:val="0"/>
                </w:rPr>
                <w:t xml:space="preserve">https://thinkcollege.net/resources/resources-by-topic/preparing-for-college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472c4"/>
                <w:sz w:val="24"/>
                <w:szCs w:val="24"/>
                <w:rtl w:val="0"/>
              </w:rPr>
              <w:t xml:space="preserve">Transition Resources Flyer </w:t>
            </w:r>
            <w:r w:rsidDel="00000000" w:rsidR="00000000" w:rsidRPr="00000000">
              <w:rPr>
                <w:rFonts w:ascii="Poppins" w:cs="Poppins" w:eastAsia="Poppins" w:hAnsi="Poppins"/>
                <w:color w:val="4472c4"/>
                <w:sz w:val="24"/>
                <w:szCs w:val="24"/>
                <w:rtl w:val="0"/>
              </w:rPr>
              <w:t xml:space="preserve">- </w:t>
            </w:r>
            <w:hyperlink r:id="rId14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4"/>
                  <w:szCs w:val="24"/>
                  <w:u w:val="single"/>
                  <w:rtl w:val="0"/>
                </w:rPr>
                <w:t xml:space="preserve">https://docs.google.com/document/d/1KmdJDr_RhdD5qzJ_HxOhrR7YKvK4ojfW6SFFlMgbr_8/edit</w:t>
              </w:r>
            </w:hyperlink>
            <w:r w:rsidDel="00000000" w:rsidR="00000000" w:rsidRPr="00000000">
              <w:rPr>
                <w:rFonts w:ascii="Poppins" w:cs="Poppins" w:eastAsia="Poppins" w:hAnsi="Poppins"/>
                <w:color w:val="4472c4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472c4"/>
                <w:sz w:val="24"/>
                <w:szCs w:val="24"/>
                <w:rtl w:val="0"/>
              </w:rPr>
              <w:t xml:space="preserve">Think College Transition Professionals Facebook Group</w:t>
            </w:r>
            <w:r w:rsidDel="00000000" w:rsidR="00000000" w:rsidRPr="00000000">
              <w:rPr>
                <w:rFonts w:ascii="Poppins" w:cs="Poppins" w:eastAsia="Poppins" w:hAnsi="Poppins"/>
                <w:color w:val="4472c4"/>
                <w:sz w:val="24"/>
                <w:szCs w:val="24"/>
                <w:rtl w:val="0"/>
              </w:rPr>
              <w:t xml:space="preserve"> - </w:t>
            </w:r>
            <w:hyperlink r:id="rId15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https://www.facebook.com/share/g/19v7fbQjji/</w:t>
              </w:r>
            </w:hyperlink>
            <w:r w:rsidDel="00000000" w:rsidR="00000000" w:rsidRPr="00000000">
              <w:rPr>
                <w:rFonts w:ascii="Poppins" w:cs="Poppins" w:eastAsia="Poppins" w:hAnsi="Poppins"/>
                <w:color w:val="4472c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472c4"/>
                <w:sz w:val="24"/>
                <w:szCs w:val="24"/>
                <w:rtl w:val="0"/>
              </w:rPr>
              <w:t xml:space="preserve">Think College Questions and Help Desk</w:t>
            </w:r>
            <w:r w:rsidDel="00000000" w:rsidR="00000000" w:rsidRPr="00000000">
              <w:rPr>
                <w:rFonts w:ascii="Poppins" w:cs="Poppins" w:eastAsia="Poppins" w:hAnsi="Poppins"/>
                <w:color w:val="4472c4"/>
                <w:sz w:val="24"/>
                <w:szCs w:val="24"/>
                <w:rtl w:val="0"/>
              </w:rPr>
              <w:t xml:space="preserve"> - </w:t>
            </w:r>
            <w:hyperlink r:id="rId16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4"/>
                  <w:szCs w:val="24"/>
                  <w:u w:val="single"/>
                  <w:rtl w:val="0"/>
                </w:rPr>
                <w:t xml:space="preserve">ThinkcollegeTA@umb.edu</w:t>
              </w:r>
            </w:hyperlink>
            <w:r w:rsidDel="00000000" w:rsidR="00000000" w:rsidRPr="00000000">
              <w:rPr>
                <w:rFonts w:ascii="Poppins" w:cs="Poppins" w:eastAsia="Poppins" w:hAnsi="Poppins"/>
                <w:color w:val="4472c4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472c4"/>
                <w:sz w:val="24"/>
                <w:szCs w:val="24"/>
                <w:rtl w:val="0"/>
              </w:rPr>
              <w:t xml:space="preserve">Think Higher. Think College. Public Awareness Campaign</w:t>
            </w:r>
            <w:r w:rsidDel="00000000" w:rsidR="00000000" w:rsidRPr="00000000">
              <w:rPr>
                <w:rFonts w:ascii="Poppins" w:cs="Poppins" w:eastAsia="Poppins" w:hAnsi="Poppins"/>
                <w:color w:val="4472c4"/>
                <w:sz w:val="24"/>
                <w:szCs w:val="24"/>
                <w:rtl w:val="0"/>
              </w:rPr>
              <w:t xml:space="preserve"> - </w:t>
            </w:r>
            <w:hyperlink r:id="rId17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4"/>
                  <w:szCs w:val="24"/>
                  <w:u w:val="single"/>
                  <w:rtl w:val="0"/>
                </w:rPr>
                <w:t xml:space="preserve">www.ThinkHigherEd.net</w:t>
              </w:r>
            </w:hyperlink>
            <w:r w:rsidDel="00000000" w:rsidR="00000000" w:rsidRPr="00000000">
              <w:rPr>
                <w:rFonts w:ascii="Poppins" w:cs="Poppins" w:eastAsia="Poppins" w:hAnsi="Poppins"/>
                <w:color w:val="4472c4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rPr>
                <w:rFonts w:ascii="Poppins" w:cs="Poppins" w:eastAsia="Poppins" w:hAnsi="Poppin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472c4"/>
                <w:sz w:val="24"/>
                <w:szCs w:val="24"/>
                <w:rtl w:val="0"/>
              </w:rPr>
              <w:t xml:space="preserve">Additional Resources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472c4"/>
                <w:sz w:val="24"/>
                <w:szCs w:val="24"/>
                <w:rtl w:val="0"/>
              </w:rPr>
              <w:t xml:space="preserve">Family Resources </w:t>
            </w:r>
            <w:r w:rsidDel="00000000" w:rsidR="00000000" w:rsidRPr="00000000">
              <w:rPr>
                <w:rFonts w:ascii="Poppins" w:cs="Poppins" w:eastAsia="Poppins" w:hAnsi="Poppins"/>
                <w:color w:val="4472c4"/>
                <w:sz w:val="24"/>
                <w:szCs w:val="24"/>
                <w:rtl w:val="0"/>
              </w:rPr>
              <w:t xml:space="preserve">- </w:t>
            </w:r>
            <w:hyperlink r:id="rId18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4"/>
                  <w:szCs w:val="24"/>
                  <w:u w:val="single"/>
                  <w:rtl w:val="0"/>
                </w:rPr>
                <w:t xml:space="preserve">https://thinkcollege.net/family-resources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4472c4"/>
                <w:sz w:val="24"/>
                <w:szCs w:val="24"/>
                <w:rtl w:val="0"/>
              </w:rPr>
              <w:t xml:space="preserve">Think College Families Facebook Group</w:t>
            </w:r>
            <w:r w:rsidDel="00000000" w:rsidR="00000000" w:rsidRPr="00000000">
              <w:rPr>
                <w:rFonts w:ascii="Poppins" w:cs="Poppins" w:eastAsia="Poppins" w:hAnsi="Poppins"/>
                <w:color w:val="4472c4"/>
                <w:sz w:val="24"/>
                <w:szCs w:val="24"/>
                <w:rtl w:val="0"/>
              </w:rPr>
              <w:t xml:space="preserve"> - </w:t>
            </w:r>
            <w:hyperlink r:id="rId19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https://www.facebook.com/groups/1065141630294756/</w:t>
              </w:r>
            </w:hyperlink>
            <w:r w:rsidDel="00000000" w:rsidR="00000000" w:rsidRPr="00000000">
              <w:rPr>
                <w:rFonts w:ascii="Poppins" w:cs="Poppins" w:eastAsia="Poppins" w:hAnsi="Poppins"/>
                <w:color w:val="4472c4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E">
      <w:pPr>
        <w:jc w:val="left"/>
        <w:rPr>
          <w:rFonts w:ascii="Poppins" w:cs="Poppins" w:eastAsia="Poppins" w:hAnsi="Poppins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hinkcollege.net/" TargetMode="External"/><Relationship Id="rId10" Type="http://schemas.openxmlformats.org/officeDocument/2006/relationships/hyperlink" Target="https://tinyurl.com/2cj3uvms" TargetMode="External"/><Relationship Id="rId13" Type="http://schemas.openxmlformats.org/officeDocument/2006/relationships/hyperlink" Target="https://thinkcollege.net/resources/resources-by-topic/preparing-for-college" TargetMode="External"/><Relationship Id="rId12" Type="http://schemas.openxmlformats.org/officeDocument/2006/relationships/hyperlink" Target="https://thinkcollege.net/college-search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inyurl.com/duwrt74v" TargetMode="External"/><Relationship Id="rId15" Type="http://schemas.openxmlformats.org/officeDocument/2006/relationships/hyperlink" Target="https://www.facebook.com/share/g/19v7fbQjji/" TargetMode="External"/><Relationship Id="rId14" Type="http://schemas.openxmlformats.org/officeDocument/2006/relationships/hyperlink" Target="https://docs.google.com/document/d/1KmdJDr_RhdD5qzJ_HxOhrR7YKvK4ojfW6SFFlMgbr_8/edit" TargetMode="External"/><Relationship Id="rId17" Type="http://schemas.openxmlformats.org/officeDocument/2006/relationships/hyperlink" Target="http://www.thinkhighered.net" TargetMode="External"/><Relationship Id="rId16" Type="http://schemas.openxmlformats.org/officeDocument/2006/relationships/hyperlink" Target="mailto:ThinkcollegeTA@umb.edu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facebook.com/groups/1065141630294756/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thinkcollege.net/family-resources" TargetMode="External"/><Relationship Id="rId7" Type="http://schemas.openxmlformats.org/officeDocument/2006/relationships/hyperlink" Target="http://thinkcollege.net" TargetMode="External"/><Relationship Id="rId8" Type="http://schemas.openxmlformats.org/officeDocument/2006/relationships/hyperlink" Target="mailto:mindy.lingo@umb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